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服务器配置的基本要求如下：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（一）CPU：采用国产自研CPU，二级医院物理核数三32核，三级医院物理核数三64核；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 内存：二级医院三128GB，三级医院三256GB;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 存储空间：&gt;=1T，存储介质类型：SSD;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 配置双网卡、方便连接院内网络环境和外部网络；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 GPU卡或NPU支持：可选配备GPU或NPU卡，便于提高AI算法计算速度和准确性；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（六）操作系统：使用麒麟、欧拉、统信等国产操作系统的服务器版；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（七）数据库支持：前置软件统一配备了OpenGauss或同等架构的数据库，服务器需支持运行此架构数据库。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jFlY2M5NTA4YzA0MTc1Mzc3ZGU4ZTkzY2Q4ZTAifQ=="/>
  </w:docVars>
  <w:rsids>
    <w:rsidRoot w:val="00000000"/>
    <w:rsid w:val="072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2024-06-11T07:26:12Z</dcterms:created>
  <dc:creator>Administrator</dc:creator>
  <cp:lastModifiedBy>王伟毅</cp:lastModifiedBy>
  <dcterms:modified xsi:type="dcterms:W3CDTF">2024-06-11T07:27:31Z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21F0BCF53C0C43A08BA355D6561F3A2C_12</vt:lpwstr>
  </property>
</Properties>
</file>