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4</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9</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第二批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根据医院业务发展需要，我院近期拟采购一批信息系统相关项目，现邀请符合相关需求的生产企业、经销企业参与该项目调研。</w:t>
      </w:r>
    </w:p>
    <w:p w14:paraId="04ADEAE2">
      <w:pPr>
        <w:widowControl/>
        <w:rPr>
          <w:rFonts w:ascii="仿宋" w:hAnsi="仿宋" w:eastAsia="仿宋" w:cs="Algerian"/>
          <w:kern w:val="0"/>
          <w:sz w:val="28"/>
          <w:szCs w:val="28"/>
        </w:rPr>
      </w:pPr>
      <w:r>
        <w:rPr>
          <w:rFonts w:hint="eastAsia" w:ascii="仿宋" w:hAnsi="仿宋" w:eastAsia="仿宋" w:cs="Algerian"/>
          <w:kern w:val="0"/>
          <w:sz w:val="28"/>
          <w:szCs w:val="28"/>
        </w:rPr>
        <w:t>一、项目名称及简介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5"/>
        <w:gridCol w:w="4914"/>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10C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307AE749">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853" w:type="pct"/>
          </w:tcPr>
          <w:p w14:paraId="15CC49F2">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机房UPS维保服务</w:t>
            </w:r>
          </w:p>
        </w:tc>
        <w:tc>
          <w:tcPr>
            <w:tcW w:w="806" w:type="pct"/>
            <w:noWrap/>
          </w:tcPr>
          <w:p w14:paraId="37551F89">
            <w:pPr>
              <w:widowControl/>
              <w:rPr>
                <w:rFonts w:hint="default"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25万元</w:t>
            </w:r>
          </w:p>
        </w:tc>
        <w:tc>
          <w:tcPr>
            <w:tcW w:w="2883" w:type="pct"/>
          </w:tcPr>
          <w:p w14:paraId="25E035FF">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highlight w:val="none"/>
              </w:rPr>
              <w:t>本项目是通过购买服务的方式购买信息中心总院四楼机房和分院五楼机房的不间断电源系统、制冷系统、监控设备、机房基础环境保障服务一年</w:t>
            </w:r>
            <w:r>
              <w:rPr>
                <w:rFonts w:hint="eastAsia" w:ascii="仿宋" w:hAnsi="仿宋" w:eastAsia="仿宋" w:cs="Helvetica"/>
                <w:kern w:val="0"/>
                <w:sz w:val="24"/>
                <w:szCs w:val="24"/>
                <w:highlight w:val="none"/>
                <w:lang w:eastAsia="zh-CN"/>
              </w:rPr>
              <w:t>。</w:t>
            </w:r>
            <w:r>
              <w:rPr>
                <w:rFonts w:hint="eastAsia" w:ascii="仿宋" w:hAnsi="仿宋" w:eastAsia="仿宋" w:cs="Helvetica"/>
                <w:kern w:val="0"/>
                <w:sz w:val="24"/>
                <w:szCs w:val="24"/>
                <w:highlight w:val="none"/>
                <w:lang w:val="en-US" w:eastAsia="zh-CN"/>
              </w:rPr>
              <w:t>详见附件《厦门市中医院机房UPS维保服务项目内容及服务要求》。（二次公告）</w:t>
            </w:r>
          </w:p>
        </w:tc>
      </w:tr>
      <w:tr w14:paraId="1605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4D82EDF7">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853" w:type="pct"/>
          </w:tcPr>
          <w:p w14:paraId="67A92419">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核心防火墙</w:t>
            </w:r>
          </w:p>
        </w:tc>
        <w:tc>
          <w:tcPr>
            <w:tcW w:w="806" w:type="pct"/>
            <w:noWrap/>
          </w:tcPr>
          <w:p w14:paraId="385EDF67">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70万元</w:t>
            </w:r>
          </w:p>
        </w:tc>
        <w:tc>
          <w:tcPr>
            <w:tcW w:w="2883" w:type="pct"/>
          </w:tcPr>
          <w:p w14:paraId="372434F4">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为保障医院核心业务数据安全，拟采购两台核心防火墙。相关需求参数见附件《厦门市中医院核心防火墙参数》。</w:t>
            </w:r>
          </w:p>
          <w:p w14:paraId="793549CF">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highlight w:val="none"/>
                <w:lang w:val="en-US" w:eastAsia="zh-CN"/>
              </w:rPr>
              <w:t>（二次公告）</w:t>
            </w:r>
          </w:p>
        </w:tc>
      </w:tr>
      <w:tr w14:paraId="1EF3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37EDB04F">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853" w:type="pct"/>
          </w:tcPr>
          <w:p w14:paraId="529BFA88">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信创服务平台及配套服务项目</w:t>
            </w:r>
          </w:p>
        </w:tc>
        <w:tc>
          <w:tcPr>
            <w:tcW w:w="806" w:type="pct"/>
            <w:noWrap/>
          </w:tcPr>
          <w:p w14:paraId="475BB02D">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99万元</w:t>
            </w:r>
          </w:p>
        </w:tc>
        <w:tc>
          <w:tcPr>
            <w:tcW w:w="2883" w:type="pct"/>
          </w:tcPr>
          <w:p w14:paraId="15C732BA">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搭建信创超融合平台，逐步将医院现有的业务系统改造并迁移至信创平台，保障医疗业务的安全性，同时作为新建系统的适配与生产环境。详见附件《厦门市中医院信创服务平台及配套服务项目内容》。</w:t>
            </w:r>
            <w:r>
              <w:rPr>
                <w:rFonts w:hint="eastAsia" w:ascii="仿宋" w:hAnsi="仿宋" w:eastAsia="仿宋" w:cs="Helvetica"/>
                <w:kern w:val="0"/>
                <w:sz w:val="24"/>
                <w:szCs w:val="24"/>
                <w:highlight w:val="none"/>
                <w:lang w:val="en-US" w:eastAsia="zh-CN"/>
              </w:rPr>
              <w:t>（二次公告）</w:t>
            </w:r>
          </w:p>
        </w:tc>
      </w:tr>
      <w:tr w14:paraId="3D8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CF64D39">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853" w:type="pct"/>
          </w:tcPr>
          <w:p w14:paraId="2E77001D">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住院结算系统项目</w:t>
            </w:r>
          </w:p>
        </w:tc>
        <w:tc>
          <w:tcPr>
            <w:tcW w:w="806" w:type="pct"/>
            <w:noWrap/>
          </w:tcPr>
          <w:p w14:paraId="3C0E08AE">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60万元</w:t>
            </w:r>
          </w:p>
        </w:tc>
        <w:tc>
          <w:tcPr>
            <w:tcW w:w="2883" w:type="pct"/>
          </w:tcPr>
          <w:p w14:paraId="4F45896E">
            <w:pPr>
              <w:widowControl/>
              <w:rPr>
                <w:rFonts w:hint="default" w:ascii="仿宋" w:hAnsi="仿宋" w:eastAsia="仿宋" w:cs="Helvetica"/>
                <w:kern w:val="0"/>
                <w:sz w:val="24"/>
                <w:szCs w:val="24"/>
                <w:lang w:val="en-US" w:eastAsia="zh-CN"/>
              </w:rPr>
            </w:pPr>
            <w:r>
              <w:rPr>
                <w:rFonts w:hint="eastAsia" w:ascii="仿宋" w:hAnsi="仿宋" w:eastAsia="仿宋" w:cs="Algerian"/>
                <w:kern w:val="0"/>
                <w:sz w:val="24"/>
                <w:szCs w:val="24"/>
                <w:lang w:eastAsia="zh-CN"/>
              </w:rPr>
              <w:t>为优化住院流程，从住院全流程多环节</w:t>
            </w:r>
            <w:r>
              <w:rPr>
                <w:rFonts w:hint="eastAsia" w:ascii="仿宋" w:hAnsi="仿宋" w:eastAsia="仿宋" w:cs="Algerian"/>
                <w:kern w:val="0"/>
                <w:sz w:val="24"/>
                <w:szCs w:val="24"/>
                <w:lang w:val="en-US" w:eastAsia="zh-CN"/>
              </w:rPr>
              <w:t>为</w:t>
            </w:r>
            <w:r>
              <w:rPr>
                <w:rFonts w:hint="eastAsia" w:ascii="仿宋" w:hAnsi="仿宋" w:eastAsia="仿宋" w:cs="Algerian"/>
                <w:kern w:val="0"/>
                <w:sz w:val="24"/>
                <w:szCs w:val="24"/>
                <w:lang w:eastAsia="zh-CN"/>
              </w:rPr>
              <w:t>患者提供自助服务，缓解窗口排队现象，提升患者的就医体验，</w:t>
            </w:r>
            <w:r>
              <w:rPr>
                <w:rFonts w:hint="eastAsia" w:ascii="仿宋" w:hAnsi="仿宋" w:eastAsia="仿宋" w:cs="Algerian"/>
                <w:kern w:val="0"/>
                <w:sz w:val="24"/>
                <w:szCs w:val="24"/>
                <w:lang w:val="en-US" w:eastAsia="zh-CN"/>
              </w:rPr>
              <w:t>拟采购</w:t>
            </w:r>
            <w:r>
              <w:rPr>
                <w:rFonts w:hint="eastAsia" w:ascii="仿宋" w:hAnsi="仿宋" w:eastAsia="仿宋" w:cs="Algerian"/>
                <w:kern w:val="0"/>
                <w:sz w:val="24"/>
                <w:szCs w:val="24"/>
                <w:lang w:eastAsia="zh-CN"/>
              </w:rPr>
              <w:t>住院移动结算</w:t>
            </w:r>
            <w:r>
              <w:rPr>
                <w:rFonts w:hint="eastAsia" w:ascii="仿宋" w:hAnsi="仿宋" w:eastAsia="仿宋" w:cs="Algerian"/>
                <w:kern w:val="0"/>
                <w:sz w:val="24"/>
                <w:szCs w:val="24"/>
                <w:lang w:val="en-US" w:eastAsia="zh-CN"/>
              </w:rPr>
              <w:t>系统</w:t>
            </w:r>
            <w:r>
              <w:rPr>
                <w:rFonts w:hint="eastAsia" w:ascii="仿宋" w:hAnsi="仿宋" w:eastAsia="仿宋" w:cs="Algerian"/>
                <w:kern w:val="0"/>
                <w:sz w:val="24"/>
                <w:szCs w:val="24"/>
                <w:lang w:eastAsia="zh-CN"/>
              </w:rPr>
              <w:t>。</w:t>
            </w:r>
            <w:r>
              <w:rPr>
                <w:rFonts w:hint="eastAsia" w:ascii="仿宋" w:hAnsi="仿宋" w:eastAsia="仿宋" w:cs="Algerian"/>
                <w:kern w:val="0"/>
                <w:sz w:val="24"/>
                <w:szCs w:val="24"/>
                <w:lang w:val="en-US" w:eastAsia="zh-CN"/>
              </w:rPr>
              <w:t>项目内容详见附件《厦门市中医院住院移动结算系统项目内容》。</w:t>
            </w:r>
            <w:r>
              <w:rPr>
                <w:rFonts w:hint="eastAsia" w:ascii="仿宋" w:hAnsi="仿宋" w:eastAsia="仿宋" w:cs="Helvetica"/>
                <w:kern w:val="0"/>
                <w:sz w:val="24"/>
                <w:szCs w:val="24"/>
                <w:highlight w:val="none"/>
                <w:lang w:val="en-US" w:eastAsia="zh-CN"/>
              </w:rPr>
              <w:t>（二次公告）</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853" w:type="pct"/>
          </w:tcPr>
          <w:p w14:paraId="47A1C9FB">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孕产妇人证核验设备采购</w:t>
            </w:r>
          </w:p>
        </w:tc>
        <w:tc>
          <w:tcPr>
            <w:tcW w:w="806" w:type="pct"/>
            <w:noWrap/>
          </w:tcPr>
          <w:p w14:paraId="44F5BE44">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3.6万元</w:t>
            </w:r>
          </w:p>
        </w:tc>
        <w:tc>
          <w:tcPr>
            <w:tcW w:w="2883" w:type="pct"/>
          </w:tcPr>
          <w:p w14:paraId="1362B38D">
            <w:pPr>
              <w:widowControl/>
              <w:rPr>
                <w:rFonts w:hint="eastAsia" w:ascii="仿宋" w:hAnsi="仿宋" w:eastAsia="仿宋" w:cs="Algerian"/>
                <w:kern w:val="0"/>
                <w:sz w:val="24"/>
                <w:szCs w:val="24"/>
                <w:lang w:eastAsia="zh-CN"/>
              </w:rPr>
            </w:pPr>
            <w:r>
              <w:rPr>
                <w:rFonts w:hint="eastAsia" w:ascii="仿宋" w:hAnsi="仿宋" w:eastAsia="仿宋" w:cs="Helvetica"/>
                <w:kern w:val="0"/>
                <w:sz w:val="24"/>
                <w:szCs w:val="24"/>
                <w:lang w:val="en-US" w:eastAsia="zh-CN"/>
              </w:rPr>
              <w:t>产科因工作需要采购</w:t>
            </w:r>
            <w:r>
              <w:rPr>
                <w:rFonts w:hint="eastAsia" w:ascii="仿宋" w:hAnsi="仿宋" w:eastAsia="仿宋" w:cs="Helvetica"/>
                <w:kern w:val="0"/>
                <w:sz w:val="24"/>
                <w:szCs w:val="24"/>
                <w:lang w:eastAsia="zh-CN"/>
              </w:rPr>
              <w:t>孕产妇人证核验设备</w:t>
            </w:r>
            <w:r>
              <w:rPr>
                <w:rFonts w:hint="eastAsia" w:ascii="仿宋" w:hAnsi="仿宋" w:eastAsia="仿宋" w:cs="Helvetica"/>
                <w:kern w:val="0"/>
                <w:sz w:val="24"/>
                <w:szCs w:val="24"/>
                <w:lang w:val="en-US" w:eastAsia="zh-CN"/>
              </w:rPr>
              <w:t>，设备参数详见附件。</w:t>
            </w:r>
          </w:p>
        </w:tc>
      </w:tr>
      <w:tr w14:paraId="569D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1F06815F">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w:t>
            </w:r>
          </w:p>
        </w:tc>
        <w:tc>
          <w:tcPr>
            <w:tcW w:w="853" w:type="pct"/>
          </w:tcPr>
          <w:p w14:paraId="548800C0">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共享中药房平台建设及相关管理系统</w:t>
            </w:r>
          </w:p>
        </w:tc>
        <w:tc>
          <w:tcPr>
            <w:tcW w:w="806" w:type="pct"/>
            <w:noWrap/>
          </w:tcPr>
          <w:p w14:paraId="38F36D7D">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75万元</w:t>
            </w:r>
          </w:p>
        </w:tc>
        <w:tc>
          <w:tcPr>
            <w:tcW w:w="2883" w:type="pct"/>
          </w:tcPr>
          <w:p w14:paraId="504DDCD0">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以我院中药房为主体，为全市基层医疗机构开展中药饮片采购、处方审核、点评，处方调剂、煎煮配送等中医药相关服务。（建设内容见附件</w:t>
            </w:r>
            <w:r>
              <w:rPr>
                <w:rFonts w:hint="eastAsia" w:ascii="仿宋" w:hAnsi="仿宋" w:eastAsia="仿宋" w:cs="Helvetica"/>
                <w:kern w:val="0"/>
                <w:sz w:val="24"/>
                <w:szCs w:val="24"/>
                <w:highlight w:val="none"/>
                <w:lang w:val="en-US" w:eastAsia="zh-CN"/>
              </w:rPr>
              <w:t>《厦门市中医院共享中药房建设内容》</w:t>
            </w:r>
            <w:r>
              <w:rPr>
                <w:rFonts w:hint="eastAsia" w:ascii="仿宋" w:hAnsi="仿宋" w:eastAsia="仿宋" w:cs="Helvetica"/>
                <w:kern w:val="0"/>
                <w:sz w:val="24"/>
                <w:szCs w:val="24"/>
                <w:lang w:val="en-US" w:eastAsia="zh-CN"/>
              </w:rPr>
              <w:t>）</w:t>
            </w:r>
            <w:r>
              <w:rPr>
                <w:rFonts w:hint="eastAsia" w:ascii="仿宋" w:hAnsi="仿宋" w:eastAsia="仿宋" w:cs="Helvetica"/>
                <w:kern w:val="0"/>
                <w:sz w:val="24"/>
                <w:szCs w:val="24"/>
                <w:highlight w:val="none"/>
                <w:lang w:val="en-US" w:eastAsia="zh-CN"/>
              </w:rPr>
              <w:t>（二次公告）</w:t>
            </w:r>
            <w:bookmarkStart w:id="0" w:name="_GoBack"/>
            <w:bookmarkEnd w:id="0"/>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2B7F9B2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1、请有意向参与项目调研的企业，于202</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20</w:t>
      </w:r>
      <w:r>
        <w:rPr>
          <w:rFonts w:hint="eastAsia" w:ascii="仿宋" w:hAnsi="仿宋" w:eastAsia="仿宋" w:cs="Algerian"/>
          <w:kern w:val="0"/>
          <w:sz w:val="28"/>
          <w:szCs w:val="28"/>
        </w:rPr>
        <w:t>日17：30前将报名材料（扫描电子版1份）发送至联系邮箱：</w:t>
      </w:r>
      <w:r>
        <w:rPr>
          <w:rFonts w:hint="eastAsia"/>
        </w:rPr>
        <w:fldChar w:fldCharType="begin"/>
      </w:r>
      <w:r>
        <w:instrText xml:space="preserve"> HYPERLINK "mailto:XXXX@163.com，%20相关资料及报价文件盖章纸质版1份交于厦门市中医院总院门诊四楼0478"</w:instrText>
      </w:r>
      <w:r>
        <w:rPr>
          <w:rFonts w:hint="eastAsia"/>
        </w:rPr>
        <w:fldChar w:fldCharType="separate"/>
      </w:r>
      <w:r>
        <w:rPr>
          <w:rFonts w:hint="eastAsia" w:ascii="仿宋" w:hAnsi="仿宋" w:eastAsia="仿宋" w:cs="Algerian"/>
          <w:kern w:val="0"/>
          <w:sz w:val="28"/>
          <w:szCs w:val="28"/>
        </w:rPr>
        <w:t>262037077@qq.com。（</w:t>
      </w:r>
      <w:r>
        <w:rPr>
          <w:rFonts w:hint="eastAsia" w:ascii="仿宋" w:hAnsi="仿宋" w:eastAsia="仿宋" w:cs="Algerian"/>
          <w:b/>
          <w:bCs/>
          <w:kern w:val="0"/>
          <w:sz w:val="28"/>
          <w:szCs w:val="28"/>
        </w:rPr>
        <w:t>邮件正文请注明公司名称、所投项目名称、联系人和联系方式以及报价金额</w:t>
      </w:r>
      <w:r>
        <w:rPr>
          <w:rFonts w:hint="eastAsia" w:ascii="仿宋" w:hAnsi="仿宋" w:eastAsia="仿宋" w:cs="Algerian"/>
          <w:kern w:val="0"/>
          <w:sz w:val="28"/>
          <w:szCs w:val="28"/>
        </w:rPr>
        <w:t>）</w:t>
      </w:r>
    </w:p>
    <w:p w14:paraId="14EE695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w:t>
      </w:r>
      <w:r>
        <w:rPr>
          <w:rFonts w:hint="eastAsia" w:ascii="仿宋" w:hAnsi="仿宋" w:eastAsia="仿宋" w:cs="Algerian"/>
          <w:kern w:val="0"/>
          <w:sz w:val="28"/>
          <w:szCs w:val="28"/>
        </w:rPr>
        <w:fldChar w:fldCharType="end"/>
      </w:r>
      <w:r>
        <w:rPr>
          <w:rFonts w:hint="eastAsia" w:ascii="仿宋" w:hAnsi="仿宋" w:eastAsia="仿宋" w:cs="Algerian"/>
          <w:kern w:val="0"/>
          <w:sz w:val="28"/>
          <w:szCs w:val="28"/>
        </w:rPr>
        <w:t>需现场勘查的，请提前1天预约，联系人：王工，联系电话：5579638。</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1、符合《政府采购法》第二十二条的相关规定的供应商，具有独立法人资格。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2、具备法律法规规定的其它条件和良好的信誉，在经营活动中没有违法违规记录，近三年内没有被司法部门或行业主管部门处罚。</w:t>
      </w:r>
    </w:p>
    <w:p w14:paraId="1EC1173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3、本批项目不接受联合体参与调研。</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4、欢迎具有三甲医院业务往来的企业，前来参与调研。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2、报价商合法有效的三证（含营业执照副本复印件、及税务登记证、代码证复印件或加载有统一社会信用代码的营业执照副本复印件）。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4、参与项目调研企业代表的厂家授权书和个人授权函和身份证复印件。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项目清单（品牌、型号、生产厂家、进口/国产、详细技术参数、接口方案、详细配置清单、价格、保修年限（原则上至少两年保修）及后续保修价格、合同签订后到货周期</w:t>
      </w:r>
      <w:r>
        <w:rPr>
          <w:rFonts w:hint="eastAsia" w:ascii="仿宋" w:hAnsi="仿宋" w:eastAsia="仿宋" w:cs="Algerian"/>
          <w:b/>
          <w:bCs/>
          <w:kern w:val="0"/>
          <w:sz w:val="28"/>
          <w:szCs w:val="28"/>
          <w:lang w:val="en-US" w:eastAsia="zh-CN"/>
        </w:rPr>
        <w:t>等</w:t>
      </w:r>
      <w:r>
        <w:rPr>
          <w:rFonts w:hint="eastAsia" w:ascii="仿宋" w:hAnsi="仿宋" w:eastAsia="仿宋" w:cs="Algerian"/>
          <w:b/>
          <w:bCs/>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7、近三年该投标产品同规格型号的用户清单（本省及厦门市三甲医院优先列出）及相关服务业绩证明材料（中标通知书、合同、发票、验收等佐证材料）。</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8、报名企业请提供报名型号与其它同性能不同品牌间的主要参数对比，简要阐述自身优势亮点。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default" w:ascii="仿宋" w:hAnsi="仿宋" w:eastAsia="仿宋" w:cs="Algerian"/>
          <w:kern w:val="0"/>
          <w:sz w:val="28"/>
          <w:szCs w:val="28"/>
          <w:lang w:val="en-US" w:eastAsia="zh-CN"/>
        </w:rPr>
      </w:pPr>
      <w:r>
        <w:rPr>
          <w:rFonts w:hint="eastAsia" w:ascii="仿宋" w:hAnsi="仿宋" w:eastAsia="仿宋" w:cs="Algerian"/>
          <w:kern w:val="0"/>
          <w:sz w:val="28"/>
          <w:szCs w:val="28"/>
        </w:rPr>
        <w:t>10、</w:t>
      </w:r>
      <w:r>
        <w:rPr>
          <w:rFonts w:hint="eastAsia" w:ascii="仿宋" w:hAnsi="仿宋" w:eastAsia="仿宋" w:cs="Algerian"/>
          <w:kern w:val="0"/>
          <w:sz w:val="28"/>
          <w:szCs w:val="28"/>
          <w:lang w:val="en-US" w:eastAsia="zh-CN"/>
        </w:rPr>
        <w:t>建设方案：请根据附件《厦门市政务信息化项目建设方案模板》编制所报名项目的建设方案，尽可能填写完整，部分内容若不涉及可填“无”。</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lang w:val="en-US" w:eastAsia="zh-CN"/>
        </w:rPr>
        <w:t>11、</w:t>
      </w:r>
      <w:r>
        <w:rPr>
          <w:rFonts w:hint="eastAsia" w:ascii="仿宋" w:hAnsi="仿宋" w:eastAsia="仿宋" w:cs="Algerian"/>
          <w:kern w:val="0"/>
          <w:sz w:val="28"/>
          <w:szCs w:val="28"/>
        </w:rPr>
        <w:t>首次公示已经提交报名材料，</w:t>
      </w:r>
      <w:r>
        <w:rPr>
          <w:rFonts w:hint="eastAsia" w:ascii="仿宋" w:hAnsi="仿宋" w:eastAsia="仿宋" w:cs="Algerian"/>
          <w:kern w:val="0"/>
          <w:sz w:val="28"/>
          <w:szCs w:val="28"/>
          <w:lang w:val="en-US" w:eastAsia="zh-CN"/>
        </w:rPr>
        <w:t>再</w:t>
      </w:r>
      <w:r>
        <w:rPr>
          <w:rFonts w:hint="eastAsia" w:ascii="仿宋" w:hAnsi="仿宋" w:eastAsia="仿宋" w:cs="Algerian"/>
          <w:kern w:val="0"/>
          <w:sz w:val="28"/>
          <w:szCs w:val="28"/>
        </w:rPr>
        <w:t>次公示若报名材料内容未发生改变则无需重复提交。</w:t>
      </w:r>
    </w:p>
    <w:p w14:paraId="2A50C17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（备注：以上资料提交时请按顺序编排目录及页码，每份资料均需加盖公章）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rPr>
          <w:rFonts w:ascii="仿宋" w:hAnsi="仿宋" w:eastAsia="仿宋" w:cs="Algerian"/>
          <w:kern w:val="0"/>
          <w:sz w:val="28"/>
          <w:szCs w:val="28"/>
        </w:rPr>
      </w:pPr>
      <w:r>
        <w:rPr>
          <w:rFonts w:hint="eastAsia" w:ascii="仿宋" w:hAnsi="仿宋" w:eastAsia="仿宋" w:cs="Algerian"/>
          <w:kern w:val="0"/>
          <w:sz w:val="28"/>
          <w:szCs w:val="28"/>
        </w:rPr>
        <w:t>3、供应商参加调研论证会人员需为报名文件授权人员，参会时需出示身份证。</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13</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7936BE"/>
    <w:rsid w:val="034C36F2"/>
    <w:rsid w:val="04B43717"/>
    <w:rsid w:val="04EE02C4"/>
    <w:rsid w:val="054A15F9"/>
    <w:rsid w:val="05C40203"/>
    <w:rsid w:val="06916813"/>
    <w:rsid w:val="06D326E0"/>
    <w:rsid w:val="07950B26"/>
    <w:rsid w:val="07FD0DA7"/>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1122069"/>
    <w:rsid w:val="11D1200C"/>
    <w:rsid w:val="161C7AD3"/>
    <w:rsid w:val="163932FC"/>
    <w:rsid w:val="16C62153"/>
    <w:rsid w:val="17066C93"/>
    <w:rsid w:val="17440D8F"/>
    <w:rsid w:val="18DF42F7"/>
    <w:rsid w:val="19457086"/>
    <w:rsid w:val="199F3505"/>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FD7285"/>
    <w:rsid w:val="4A65319D"/>
    <w:rsid w:val="4AB9714B"/>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sz w:val="18"/>
      <w:szCs w:val="18"/>
    </w:rPr>
  </w:style>
  <w:style w:type="paragraph" w:styleId="17">
    <w:name w:val="List Paragraph"/>
    <w:basedOn w:val="1"/>
    <w:qFormat/>
    <w:uiPriority w:val="34"/>
    <w:pPr>
      <w:spacing w:line="240" w:lineRule="auto"/>
      <w:ind w:firstLine="420"/>
    </w:pPr>
    <w:rPr>
      <w:rFonts w:ascii="等线" w:hAnsi="等线" w:eastAsia="等线" w:cs="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1529</Words>
  <Characters>1628</Characters>
  <Lines>10</Lines>
  <Paragraphs>2</Paragraphs>
  <TotalTime>0</TotalTime>
  <ScaleCrop>false</ScaleCrop>
  <LinksUpToDate>false</LinksUpToDate>
  <CharactersWithSpaces>1628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2024-06-21T01:24:00Z</cp:lastPrinted>
  <dcterms:modified xsi:type="dcterms:W3CDTF">2024-09-13T07:02:31Z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40BFB447717B46488047446CCCCC2B99_13</vt:lpwstr>
  </property>
</Properties>
</file>